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63</w:t>
      </w:r>
    </w:p>
    <w:p>
      <w:r>
        <w:t>Bundesgericht (BGE), 1985-04-17, DE</w:t>
      </w:r>
    </w:p>
    <w:p>
      <w:r>
        <w:rPr>
          <w:b/>
        </w:rPr>
        <w:t xml:space="preserve">Quelle: </w:t>
      </w:r>
      <w:r>
        <w:t>https://mcp.opencaselaw.ch/entscheid/bge_111 IV 63</w:t>
      </w:r>
    </w:p>
    <w:p>
      <w:r>
        <w:t>FR: ATF 111 IV 63</w:t>
      </w:r>
    </w:p>
    <w:p>
      <w:r>
        <w:t>IT: DTF 111 IV 63</w:t>
      </w:r>
    </w:p>
    <w:p>
      <w:pPr>
        <w:pStyle w:val="Heading2"/>
      </w:pPr>
      <w:r>
        <w:t>Regeste</w:t>
      </w:r>
    </w:p>
    <w:p>
      <w:r>
        <w:t>Regeste Art. 179ter Abs. 1 und 28 Abs. 1 StGB. Die Kirchgemeinde ist nicht berechtigt, Strafantrag zu stellen, wenn anlässlich ihrer Gemeindeversammlung ein Teilnehmer die Äusserungen der Votanten ohne deren Einwilligung auf Tonband aufnimmt; sie ist nicht Gesprächsteilnehmerin im Sinne der erstgenannten Bestimmung.</w:t>
      </w:r>
    </w:p>
    <w:p>
      <w:pPr>
        <w:pStyle w:val="Heading2"/>
      </w:pPr>
      <w:r>
        <w:t>Erwägungen</w:t>
      </w:r>
    </w:p>
    <w:p>
      <w:r>
        <w:rPr>
          <w:b/>
        </w:rPr>
        <w:t>E. 1</w:t>
      </w:r>
    </w:p>
    <w:p>
      <w:r>
        <w:t>Das Obergericht vertritt die Auffassung, Art. 179ter StGB wolle dem Unbehagen entgegenwirken, der Möglichkeit einer heimlichen Fixierung von Äusserungen durch Gesprächspartner ausgesetzt zu sein; sobald nämlich ein Gesprächsteilnehmer damit rechnen müsse, dass die Gegenseite seine Äusserungen genau registriere und nicht wieder vergesse, würden die zwischenmenschlichen Beziehungen und die Persönlichkeitsentfaltung ernsthaft gestört. Zudem wolle das Gesetz der Möglichkeit allenfalls irreführender Weiterverbreitung den Riegel schieben. Ein so umschriebener Rechtsgüterschutz müsse auch einer öffentlichrechtlichen Institution zukommen. Das Gegenteil würde zu materiell unbefriedigenden Ergebnissen führen, wie gerade der vorliegende Fall zeige. Im übrigen stehe Art. 179 StGB , der unbestrittenermassen für den privaten wie den amtlichen Briefverkehr gelte, unter dem gleichen Marginale wie Art. 179ter. Das Obergericht kam damit zum Schluss, es stehe der römisch-katholischen Kirchgemeinde als einer juristischen Person des öffentlichen Rechts das Antragsrecht zu. Demgegenüber wird mit der Beschwerde geltend gemacht, zur Antragstellung sei nur der durch das tatbestandsmässige, rechtswidrige und schuldhafte Verhalten Verletzte legitimiert. Dieser müsse zugleich Träger des strafrechtlich geschützten Rechtsgutes sein. Geschütztes Rechtsgut nach Art. 179ter StGB sei nicht jeder Geheimbereich, sondern nur der persönliche, private. Die Kirchgemeinde sei weder eine natürliche noch eine juristische Person des Privatrechts, sondern eine Körperschaft des öffentlichen Rechts. Die Gemeinde verkörpere natürlicherweise das Öffentliche und habe in der Gemeindeversammlung offen das auszutragen und zu entscheiden, was in ihrem Aufgabenbereich gegenüber ihren Mitgliedern liege. Ein privates Eigenleben könne ihr nicht zukommen. Dem entspreche auch die Praxis des Bundesgerichts ( BGE 108 IV 21 und 163; BGE 69 IV 81 ). Im vorliegenden Fall sei es nicht um persönliche, die einzelnen Mitglieder als solche betreffende Angelegenheiten, sondern einzig um die Diskussion der Amtsführung durch den Pfarrer gegangen, woran ein öffentliches Interesse der Kirchgemeinde bestanden habe. Ein aus öffentlicher Verpflichtung geführtes BGE 111 IV 63 S. 66 Gespräch könne keinen Behördenschutz auslösen. Die Kirchgemeinde sei deshalb zum Strafantrag nicht legitimiert gewesen.</w:t>
      </w:r>
    </w:p>
    <w:p>
      <w:r>
        <w:rPr>
          <w:b/>
        </w:rPr>
        <w:t>E. 2</w:t>
      </w:r>
    </w:p>
    <w:p>
      <w:r>
        <w:t>Nach Art. 179ter Abs. 1 und 3 StGB wird auf Antrag bestraft, wer als Gesprächsteilnehmer ein nichtöffentliches Gespräch, ohne die Einwilligung der anderen daran Beteiligten, auf einen Tonträger aufnimmt. Wie der Titel des gesetzlichen Erlasses, durch den die Bestimmungen der Art. 179bis-179septies ins Strafgesetzbuch eingefügt wurden, deutlich macht (Bundesgesetz vom 20. Dezember 1968 betreffend Verstärkung des strafrechtlichen Schutzes des persönlichen Geheimbereichs) und wie auch aus den Materialien erhellt, ist das durch jene Bestimmungen geschützte Rechtsgut die persönliche Geheimsphäre als ein dem Einzelnen zur Entwicklung seiner Persönlichkeit gewährleisteter freier Raum vor der Gemeinschaft und dem Staat sowie vor den anderen Einzelnen (Botschaft des Bundesrates, BBl 1968 I S. 585, 588, 589, 593 usw.; vgl. auch BGE 108 IV 163 ). Es soll sich der Einzelne in einem durch persönliche Beziehungen abgegrenzten Personenkreis mündlich frei äussern können, ohne Gefahr zu laufen, dass das von ihm geführte Gespräch ohne seinen Willen von einem anderen auf einem Tonträger festgehalten und damit die Unbefangenheit der nichtöffentlichen Äusserung durch die "Perpetuierung des flüchtig gesprochenen Wortes" (Juristenzeitung, 35/1980, S. 9) beeinträchtigt wird. Da es sich um ein Individualrecht handelt, das dem Menschen um seiner Persönlichkeit willen zusteht und auf dessen Schutz er in gewissen Fällen auch verzichten kann (Botschaft S. 585, 593), kommt als Berechtigter in erster Linie die natürliche Person in Betracht. Es kann aber ein Gespräch, auch wenn nur natürliche Personen hierzu fähig sind (s. SCHULTZ, Der strafrechtliche Schutz der Geheimsphäre, SJZ 67/1971, S. 304), von diesen als Organ einer juristischen Person geführt werden mit der Folge, dass diesfalls der Geheimbereich der juristischen Person berührt sein kann. Ob hierbei nur juristische Personen des privaten oder auch des öffentlichen Rechts den Schutz der Geheimsphäre im Sinne der Art. 179bis ff. StGB beanspruchen können, kann dahingestellt bleiben; denn selbst bei Bejahung der Frage müsste im vorliegenden Fall der römisch-katholischen Kirchgemeinde Spiez, in deren Namen der Strafantrag gestellt wurde, die Antragsberechtigung abgesprochen werden. Am Rande sei zur Klarstellung angemerkt, dass - unabhängig von der Frage der Strafbarkeit gemäss Art. 179ter StGB - Tonbandaufnahmen (wie Photographieren oder Filmen) an Sitzungen BGE 111 IV 63 S. 67 oder Versammlungen zur Vermeidung von Störungen und zur Verhütung von Verfälschungen durch besondere Vorschrift oder durch Anordnung des Leiters untersagt werden können.</w:t>
      </w:r>
    </w:p>
    <w:p>
      <w:r>
        <w:rPr>
          <w:b/>
        </w:rPr>
        <w:t>E. 3</w:t>
      </w:r>
    </w:p>
    <w:p>
      <w:r>
        <w:t>Antragsberechtigt ist nach Art. 28 Abs. 1 StGB nur der durch die Tat Verletzte. Ob einer natürlichen oder juristischen Person in concreto das Recht zusteht, Antrag zu stellen, beurteilt sich deshalb, was das Obergericht ausser acht gelassen hat, nicht allein danach, ob sie einen schutzwürdigen Geheimbereich besitzt, sondern und vor allem danach, ob und inwieweit dieser nach der einschlägigen Bestimmung strafrechtlich geschützt werden sollte. Nach Art. 179ter Abs. 1 StGB ist einzig die Geheimsphäre des Gesprächsteilnehmers geschützt. Es fällt deshalb als Verletzter nur in Betracht, wer sich an einem nichtöffentlichen Gespräch beteiligt hat, das von einem anderen Gesprächsteilnehmer ohne seine Einwilligung auf einen Tonträger aufgenommen wurde. Im vorliegenden Fall hatte die römisch-katholische Kirchgemeinde Spiez nicht durch eines ihrer Organe an einem Gespräch mit den Beschwerdeführern teilgenommen. Vielmehr fanden die Verhandlungen innerhalb der Kirchgemeinde, und zwar im Rahmen der Kirchgemeindeversammlung als eines der ordentlichen Organe dieser Gemeinde statt (Art. 14 des bernischen Gesetzes über die Organisation des Kirchenwesens, systematische Gesetzessammlung (BSG) 410.11; Art. 18 der Verordnung vom 2. April 1946 über die kirchlichen Stimmregister und das Verfahren bei kirchlichen Wahlen und Abstimmungen, BSG 410.131). Die an der Versammlung - an der auch die Beschwerdeführer als stimmberechtigte Kirchgemeindegenossen teilnahmen - gefallenen mündlichen Äusserungen dienten der Willensbildung dieses Organs. Soweit dessen Verhandlungen überhaupt als Gespräch im Sinne des Art. 179ter StGB gelten können, war dieses somit nicht zwischen der Kirchgemeinde und den Beschwerdeführern geführt worden, standen sich doch die Parteien nicht als verschiedene Gesprächsteilnehmer gegenüber. Die von X. und seiner Tochter aufgenommenen Voten anderer Kirchgemeindegenossen waren vielmehr mündliche Äusserungen nur dieser einzelnen Versammlungsteilnehmer und nicht der Kirchgemeinde als solcher. Jene allein hätten daher im Verhältnis zu den Beschwerdeführern als durch die Tonbandaufnahme allenfalls Verletzte in Betracht fallen können, sofern - wie bereits bemerkt - die Verhandlungen als Gespräch und überdies als nichtöffentliches Gespräch gelten könnten, was offenbleiben kann; denn so oder anders hält das BGE 111 IV 63 S. 68 angefochtene Urteil schon deswegen nicht, weil der ausschliesslich im Namen der römisch-katholischen Kirchgemeinde Spiez gestellte Strafantrag nicht rechtsgültig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